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C1" w:rsidRPr="002D6B85" w:rsidRDefault="00B176C1" w:rsidP="00B176C1">
      <w:pPr>
        <w:spacing w:after="0" w:line="276" w:lineRule="auto"/>
        <w:ind w:left="284"/>
        <w:jc w:val="center"/>
        <w:rPr>
          <w:rFonts w:ascii="Times New Roman" w:eastAsia="Times New Roman" w:hAnsi="Times New Roman" w:cs="Times New Roman"/>
          <w:sz w:val="28"/>
          <w:szCs w:val="24"/>
          <w:lang w:val="ky-KG" w:eastAsia="ru-RU"/>
        </w:rPr>
      </w:pPr>
      <w:r w:rsidRPr="002D6B85">
        <w:rPr>
          <w:rFonts w:ascii="Times New Roman" w:eastAsia="Times New Roman" w:hAnsi="Times New Roman" w:cs="Times New Roman"/>
          <w:b/>
          <w:bCs/>
          <w:color w:val="002060"/>
          <w:sz w:val="28"/>
          <w:szCs w:val="24"/>
          <w:lang w:val="ky-KG" w:eastAsia="ru-RU"/>
        </w:rPr>
        <w:t>Материалдык-техникалык база жѳнүндѳ маалыматтар</w:t>
      </w:r>
    </w:p>
    <w:p w:rsidR="00B176C1" w:rsidRPr="002D6B85" w:rsidRDefault="00B176C1" w:rsidP="00B176C1">
      <w:pPr>
        <w:spacing w:after="0" w:line="240" w:lineRule="auto"/>
        <w:jc w:val="both"/>
        <w:rPr>
          <w:rFonts w:ascii="Times New Roman" w:eastAsia="Times New Roman" w:hAnsi="Times New Roman" w:cs="Times New Roman"/>
          <w:b/>
          <w:bCs/>
          <w:color w:val="000000"/>
          <w:sz w:val="16"/>
          <w:szCs w:val="24"/>
          <w:lang w:val="ky-KG" w:eastAsia="ru-RU"/>
        </w:rPr>
      </w:pPr>
    </w:p>
    <w:tbl>
      <w:tblPr>
        <w:tblW w:w="48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6308"/>
        <w:gridCol w:w="1884"/>
        <w:gridCol w:w="1949"/>
      </w:tblGrid>
      <w:tr w:rsidR="00B176C1" w:rsidRPr="002D6B85" w:rsidTr="00BD0440">
        <w:trPr>
          <w:trHeight w:val="542"/>
        </w:trPr>
        <w:tc>
          <w:tcPr>
            <w:tcW w:w="275" w:type="pct"/>
          </w:tcPr>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w:t>
            </w:r>
          </w:p>
        </w:tc>
        <w:tc>
          <w:tcPr>
            <w:tcW w:w="2939" w:type="pct"/>
          </w:tcPr>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bCs/>
                <w:color w:val="C00000"/>
                <w:sz w:val="24"/>
                <w:szCs w:val="24"/>
                <w:lang w:val="ky-KG" w:eastAsia="ru-RU"/>
              </w:rPr>
              <w:t>Материалдык-техникалык базаны түзүүчүлөр</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Болушу</w:t>
            </w:r>
          </w:p>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(ооба/жок)</w:t>
            </w:r>
          </w:p>
        </w:tc>
        <w:tc>
          <w:tcPr>
            <w:tcW w:w="908" w:type="pct"/>
          </w:tcPr>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Эскертүү</w:t>
            </w:r>
          </w:p>
        </w:tc>
      </w:tr>
      <w:tr w:rsidR="00B176C1" w:rsidRPr="002D6B85" w:rsidTr="00BD0440">
        <w:trPr>
          <w:trHeight w:val="279"/>
        </w:trPr>
        <w:tc>
          <w:tcPr>
            <w:tcW w:w="275" w:type="pct"/>
            <w:vMerge w:val="restar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1</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Окуу кабинеттери:</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Кыргыз тили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96"/>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Чет тили (англис)</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Орус тили</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96"/>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Тарых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Математика</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96"/>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География</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Физика</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96"/>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Биология</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Химия</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96"/>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Информатика</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Компьютердик класс</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821"/>
        </w:trPr>
        <w:tc>
          <w:tcPr>
            <w:tcW w:w="275"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2</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Административдик бѳлмѳлѳр (директор, окуу бѳлүмүнүн башчысы, уюштуруучунун кабинеттери)</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3</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Даараткана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63"/>
        </w:trPr>
        <w:tc>
          <w:tcPr>
            <w:tcW w:w="275" w:type="pct"/>
            <w:vMerge w:val="restar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4</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Китеп сактоо жайы, архив</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жок</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96"/>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Окуу залы</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val="restar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5</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Атайын  кабинеттер (лабораториялар)</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Химия</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96"/>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Биология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Физика</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val="restar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6</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Спорт аянтчасы</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vMerge/>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Гимнастикалык зал</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7</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Музыкалык бѳлмѳ</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63"/>
        </w:trPr>
        <w:tc>
          <w:tcPr>
            <w:tcW w:w="275"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8</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Ашкана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63"/>
        </w:trPr>
        <w:tc>
          <w:tcPr>
            <w:tcW w:w="275"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9</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Актовый зал</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79"/>
        </w:trPr>
        <w:tc>
          <w:tcPr>
            <w:tcW w:w="275"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10</w:t>
            </w:r>
          </w:p>
        </w:tc>
        <w:tc>
          <w:tcPr>
            <w:tcW w:w="2939" w:type="pct"/>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Эмгекке үйрѳтүү кабинетери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908" w:type="pct"/>
          </w:tcPr>
          <w:p w:rsidR="00B176C1" w:rsidRPr="002D6B85" w:rsidRDefault="00B176C1" w:rsidP="00BD0440">
            <w:pPr>
              <w:spacing w:after="0" w:line="240" w:lineRule="auto"/>
              <w:rPr>
                <w:rFonts w:ascii="Times New Roman" w:eastAsia="Times New Roman" w:hAnsi="Times New Roman" w:cs="Times New Roman"/>
                <w:b/>
                <w:i/>
                <w:sz w:val="24"/>
                <w:szCs w:val="24"/>
                <w:lang w:val="ky-KG" w:eastAsia="ru-RU"/>
              </w:rPr>
            </w:pPr>
          </w:p>
        </w:tc>
      </w:tr>
      <w:tr w:rsidR="00B176C1" w:rsidRPr="002D6B85" w:rsidTr="00BD0440">
        <w:trPr>
          <w:trHeight w:val="263"/>
        </w:trPr>
        <w:tc>
          <w:tcPr>
            <w:tcW w:w="3214" w:type="pct"/>
            <w:gridSpan w:val="2"/>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Жылытуу системасынын болушу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 xml:space="preserve"> ооба</w:t>
            </w:r>
          </w:p>
        </w:tc>
        <w:tc>
          <w:tcPr>
            <w:tcW w:w="908" w:type="pct"/>
          </w:tcPr>
          <w:p w:rsidR="00B176C1" w:rsidRPr="002D6B85" w:rsidRDefault="00B176C1" w:rsidP="00BD0440">
            <w:pPr>
              <w:spacing w:after="0" w:line="240" w:lineRule="auto"/>
              <w:rPr>
                <w:rFonts w:ascii="Times New Roman" w:eastAsia="Times New Roman" w:hAnsi="Times New Roman" w:cs="Times New Roman"/>
                <w:b/>
                <w:bCs/>
                <w:i/>
                <w:sz w:val="24"/>
                <w:szCs w:val="24"/>
                <w:lang w:val="ky-KG" w:eastAsia="ru-RU"/>
              </w:rPr>
            </w:pPr>
          </w:p>
        </w:tc>
      </w:tr>
      <w:tr w:rsidR="00B176C1" w:rsidRPr="002D6B85" w:rsidTr="00BD0440">
        <w:trPr>
          <w:trHeight w:val="279"/>
        </w:trPr>
        <w:tc>
          <w:tcPr>
            <w:tcW w:w="3214" w:type="pct"/>
            <w:gridSpan w:val="2"/>
          </w:tcPr>
          <w:p w:rsidR="00B176C1" w:rsidRPr="002D6B85" w:rsidRDefault="00B176C1" w:rsidP="00BD0440">
            <w:pPr>
              <w:spacing w:after="0" w:line="240" w:lineRule="auto"/>
              <w:rPr>
                <w:rFonts w:ascii="Times New Roman" w:eastAsia="Times New Roman" w:hAnsi="Times New Roman" w:cs="Times New Roman"/>
                <w:bCs/>
                <w:sz w:val="24"/>
                <w:szCs w:val="24"/>
                <w:lang w:val="ky-KG" w:eastAsia="ru-RU"/>
              </w:rPr>
            </w:pPr>
            <w:r w:rsidRPr="002D6B85">
              <w:rPr>
                <w:rFonts w:ascii="Times New Roman" w:eastAsia="Times New Roman" w:hAnsi="Times New Roman" w:cs="Times New Roman"/>
                <w:sz w:val="24"/>
                <w:szCs w:val="24"/>
                <w:lang w:val="ky-KG" w:eastAsia="ru-RU"/>
              </w:rPr>
              <w:t>Жылытуу системасынын иштеши</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bCs/>
                <w:i/>
                <w:sz w:val="24"/>
                <w:szCs w:val="24"/>
                <w:lang w:val="ky-KG" w:eastAsia="ru-RU"/>
              </w:rPr>
            </w:pPr>
          </w:p>
        </w:tc>
      </w:tr>
      <w:tr w:rsidR="00B176C1" w:rsidRPr="002D6B85" w:rsidTr="00BD0440">
        <w:trPr>
          <w:trHeight w:val="542"/>
        </w:trPr>
        <w:tc>
          <w:tcPr>
            <w:tcW w:w="3214" w:type="pct"/>
            <w:gridSpan w:val="2"/>
          </w:tcPr>
          <w:p w:rsidR="00B176C1" w:rsidRPr="002D6B85" w:rsidRDefault="00B176C1" w:rsidP="00BD0440">
            <w:pPr>
              <w:spacing w:after="0" w:line="240" w:lineRule="auto"/>
              <w:rPr>
                <w:rFonts w:ascii="Times New Roman" w:eastAsia="Times New Roman" w:hAnsi="Times New Roman" w:cs="Times New Roman"/>
                <w:bCs/>
                <w:sz w:val="24"/>
                <w:szCs w:val="24"/>
                <w:lang w:val="ky-KG" w:eastAsia="ru-RU"/>
              </w:rPr>
            </w:pPr>
            <w:r w:rsidRPr="002D6B85">
              <w:rPr>
                <w:rFonts w:ascii="Times New Roman" w:eastAsia="Times New Roman" w:hAnsi="Times New Roman" w:cs="Times New Roman"/>
                <w:sz w:val="24"/>
                <w:szCs w:val="24"/>
                <w:lang w:val="ky-KG" w:eastAsia="ru-RU"/>
              </w:rPr>
              <w:t>Мектеп имаратынын жалпы абалы (1- абдан начар, 2- начар, 3- канааттандыраарлык, 4- жакшы)</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bCs/>
                <w:i/>
                <w:sz w:val="24"/>
                <w:szCs w:val="24"/>
                <w:lang w:val="ky-KG" w:eastAsia="ru-RU"/>
              </w:rPr>
            </w:pPr>
            <w:r w:rsidRPr="002D6B85">
              <w:rPr>
                <w:rFonts w:ascii="Times New Roman" w:eastAsia="Times New Roman" w:hAnsi="Times New Roman" w:cs="Times New Roman"/>
                <w:b/>
                <w:bCs/>
                <w:i/>
                <w:sz w:val="24"/>
                <w:szCs w:val="24"/>
                <w:lang w:val="ky-KG" w:eastAsia="ru-RU"/>
              </w:rPr>
              <w:t>4 жакшы</w:t>
            </w:r>
          </w:p>
        </w:tc>
        <w:tc>
          <w:tcPr>
            <w:tcW w:w="908" w:type="pct"/>
          </w:tcPr>
          <w:p w:rsidR="00B176C1" w:rsidRPr="002D6B85" w:rsidRDefault="00B176C1" w:rsidP="00BD0440">
            <w:pPr>
              <w:spacing w:after="0" w:line="240" w:lineRule="auto"/>
              <w:rPr>
                <w:rFonts w:ascii="Times New Roman" w:eastAsia="Times New Roman" w:hAnsi="Times New Roman" w:cs="Times New Roman"/>
                <w:b/>
                <w:bCs/>
                <w:i/>
                <w:sz w:val="24"/>
                <w:szCs w:val="24"/>
                <w:lang w:val="ky-KG" w:eastAsia="ru-RU"/>
              </w:rPr>
            </w:pPr>
          </w:p>
        </w:tc>
      </w:tr>
      <w:tr w:rsidR="00B176C1" w:rsidRPr="002D6B85" w:rsidTr="00BD0440">
        <w:trPr>
          <w:trHeight w:val="542"/>
        </w:trPr>
        <w:tc>
          <w:tcPr>
            <w:tcW w:w="3214" w:type="pct"/>
            <w:gridSpan w:val="2"/>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Санитардык-эпидемиологиялык кызматынын жана ѳрт коопсуздугунун жыйынтыктоолору (заключение) </w:t>
            </w:r>
          </w:p>
        </w:tc>
        <w:tc>
          <w:tcPr>
            <w:tcW w:w="878" w:type="pct"/>
          </w:tcPr>
          <w:p w:rsidR="00B176C1" w:rsidRPr="002D6B85" w:rsidRDefault="00B176C1" w:rsidP="00BD0440">
            <w:pPr>
              <w:spacing w:after="0" w:line="240" w:lineRule="auto"/>
              <w:jc w:val="center"/>
              <w:rPr>
                <w:rFonts w:ascii="Times New Roman" w:eastAsia="Times New Roman" w:hAnsi="Times New Roman" w:cs="Times New Roman"/>
                <w:b/>
                <w:bCs/>
                <w:i/>
                <w:sz w:val="24"/>
                <w:szCs w:val="24"/>
                <w:lang w:val="ky-KG" w:eastAsia="ru-RU"/>
              </w:rPr>
            </w:pPr>
            <w:r w:rsidRPr="002D6B85">
              <w:rPr>
                <w:rFonts w:ascii="Times New Roman" w:eastAsia="Times New Roman" w:hAnsi="Times New Roman" w:cs="Times New Roman"/>
                <w:b/>
                <w:bCs/>
                <w:i/>
                <w:sz w:val="24"/>
                <w:szCs w:val="24"/>
                <w:lang w:val="ky-KG" w:eastAsia="ru-RU"/>
              </w:rPr>
              <w:t>ооба</w:t>
            </w:r>
          </w:p>
        </w:tc>
        <w:tc>
          <w:tcPr>
            <w:tcW w:w="908" w:type="pct"/>
          </w:tcPr>
          <w:p w:rsidR="00B176C1" w:rsidRPr="002D6B85" w:rsidRDefault="00B176C1" w:rsidP="00BD0440">
            <w:pPr>
              <w:spacing w:after="0" w:line="240" w:lineRule="auto"/>
              <w:rPr>
                <w:rFonts w:ascii="Times New Roman" w:eastAsia="Times New Roman" w:hAnsi="Times New Roman" w:cs="Times New Roman"/>
                <w:b/>
                <w:bCs/>
                <w:i/>
                <w:sz w:val="24"/>
                <w:szCs w:val="24"/>
                <w:lang w:val="ky-KG" w:eastAsia="ru-RU"/>
              </w:rPr>
            </w:pPr>
          </w:p>
        </w:tc>
      </w:tr>
    </w:tbl>
    <w:p w:rsidR="00B176C1" w:rsidRPr="002D6B85" w:rsidRDefault="00B176C1" w:rsidP="00B176C1">
      <w:pPr>
        <w:spacing w:after="0" w:line="240" w:lineRule="auto"/>
        <w:rPr>
          <w:rFonts w:ascii="Times New Roman" w:eastAsia="Times New Roman" w:hAnsi="Times New Roman" w:cs="Times New Roman"/>
          <w:b/>
          <w:bCs/>
          <w:sz w:val="24"/>
          <w:szCs w:val="24"/>
          <w:lang w:val="ky-KG" w:eastAsia="ru-RU"/>
        </w:rPr>
      </w:pPr>
    </w:p>
    <w:tbl>
      <w:tblPr>
        <w:tblW w:w="4807" w:type="pct"/>
        <w:tblInd w:w="250" w:type="dxa"/>
        <w:tblLook w:val="01E0" w:firstRow="1" w:lastRow="1" w:firstColumn="1" w:lastColumn="1" w:noHBand="0" w:noVBand="0"/>
      </w:tblPr>
      <w:tblGrid>
        <w:gridCol w:w="7098"/>
        <w:gridCol w:w="1732"/>
        <w:gridCol w:w="1915"/>
      </w:tblGrid>
      <w:tr w:rsidR="00B176C1" w:rsidRPr="002D6B85" w:rsidTr="00BD0440">
        <w:trPr>
          <w:trHeight w:val="387"/>
        </w:trPr>
        <w:tc>
          <w:tcPr>
            <w:tcW w:w="3303" w:type="pct"/>
            <w:tcBorders>
              <w:top w:val="single" w:sz="4" w:space="0" w:color="auto"/>
              <w:left w:val="single" w:sz="4" w:space="0" w:color="auto"/>
              <w:bottom w:val="single" w:sz="4" w:space="0" w:color="auto"/>
              <w:right w:val="single" w:sz="4" w:space="0" w:color="auto"/>
            </w:tcBorders>
            <w:vAlign w:val="center"/>
          </w:tcPr>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Ресурстар</w:t>
            </w:r>
          </w:p>
        </w:tc>
        <w:tc>
          <w:tcPr>
            <w:tcW w:w="806" w:type="pct"/>
            <w:tcBorders>
              <w:top w:val="single" w:sz="4" w:space="0" w:color="auto"/>
              <w:left w:val="single" w:sz="4" w:space="0" w:color="auto"/>
              <w:bottom w:val="single" w:sz="4" w:space="0" w:color="auto"/>
              <w:right w:val="single" w:sz="4" w:space="0" w:color="auto"/>
            </w:tcBorders>
            <w:vAlign w:val="center"/>
          </w:tcPr>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Болушу</w:t>
            </w:r>
          </w:p>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w:t>
            </w:r>
            <w:r w:rsidRPr="002D6B85">
              <w:rPr>
                <w:rFonts w:ascii="Times New Roman" w:eastAsia="Times New Roman" w:hAnsi="Times New Roman" w:cs="Times New Roman"/>
                <w:color w:val="C00000"/>
                <w:sz w:val="24"/>
                <w:szCs w:val="24"/>
                <w:lang w:val="ky-KG" w:eastAsia="ru-RU"/>
              </w:rPr>
              <w:t>ооба/жок)</w:t>
            </w:r>
          </w:p>
        </w:tc>
        <w:tc>
          <w:tcPr>
            <w:tcW w:w="892" w:type="pct"/>
            <w:tcBorders>
              <w:top w:val="single" w:sz="4" w:space="0" w:color="auto"/>
              <w:left w:val="single" w:sz="4" w:space="0" w:color="auto"/>
              <w:bottom w:val="single" w:sz="4" w:space="0" w:color="auto"/>
              <w:right w:val="single" w:sz="4" w:space="0" w:color="auto"/>
            </w:tcBorders>
            <w:vAlign w:val="center"/>
          </w:tcPr>
          <w:p w:rsidR="00B176C1" w:rsidRPr="002D6B85" w:rsidRDefault="00B176C1" w:rsidP="00BD0440">
            <w:pPr>
              <w:spacing w:after="0" w:line="240" w:lineRule="auto"/>
              <w:jc w:val="center"/>
              <w:rPr>
                <w:rFonts w:ascii="Times New Roman" w:eastAsia="Times New Roman" w:hAnsi="Times New Roman" w:cs="Times New Roman"/>
                <w:b/>
                <w:color w:val="C00000"/>
                <w:sz w:val="24"/>
                <w:szCs w:val="24"/>
                <w:lang w:val="ky-KG" w:eastAsia="ru-RU"/>
              </w:rPr>
            </w:pPr>
            <w:r w:rsidRPr="002D6B85">
              <w:rPr>
                <w:rFonts w:ascii="Times New Roman" w:eastAsia="Times New Roman" w:hAnsi="Times New Roman" w:cs="Times New Roman"/>
                <w:b/>
                <w:color w:val="C00000"/>
                <w:sz w:val="24"/>
                <w:szCs w:val="24"/>
                <w:lang w:val="ky-KG" w:eastAsia="ru-RU"/>
              </w:rPr>
              <w:t>Саны</w:t>
            </w:r>
          </w:p>
        </w:tc>
      </w:tr>
      <w:tr w:rsidR="00B176C1" w:rsidRPr="002D6B85" w:rsidTr="00BD0440">
        <w:trPr>
          <w:trHeight w:val="398"/>
        </w:trPr>
        <w:tc>
          <w:tcPr>
            <w:tcW w:w="3303"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Окуучулар колдонгон компьютерлердин саны  </w:t>
            </w:r>
          </w:p>
        </w:tc>
        <w:tc>
          <w:tcPr>
            <w:tcW w:w="806"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892"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color w:val="FF0000"/>
                <w:sz w:val="24"/>
                <w:szCs w:val="24"/>
                <w:lang w:val="ky-KG" w:eastAsia="ru-RU"/>
              </w:rPr>
              <w:t>18                     (6 иштейт)</w:t>
            </w:r>
          </w:p>
        </w:tc>
      </w:tr>
      <w:tr w:rsidR="00B176C1" w:rsidRPr="002D6B85" w:rsidTr="00BD0440">
        <w:trPr>
          <w:trHeight w:val="187"/>
        </w:trPr>
        <w:tc>
          <w:tcPr>
            <w:tcW w:w="3303"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Интернет / модем</w:t>
            </w:r>
          </w:p>
        </w:tc>
        <w:tc>
          <w:tcPr>
            <w:tcW w:w="806"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Жок/ооба</w:t>
            </w:r>
          </w:p>
        </w:tc>
        <w:tc>
          <w:tcPr>
            <w:tcW w:w="892"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color w:val="FF0000"/>
                <w:sz w:val="24"/>
                <w:szCs w:val="24"/>
                <w:lang w:val="ky-KG" w:eastAsia="ru-RU"/>
              </w:rPr>
              <w:t>0 / 1</w:t>
            </w:r>
          </w:p>
        </w:tc>
      </w:tr>
      <w:tr w:rsidR="00B176C1" w:rsidRPr="002D6B85" w:rsidTr="00BD0440">
        <w:trPr>
          <w:trHeight w:val="199"/>
        </w:trPr>
        <w:tc>
          <w:tcPr>
            <w:tcW w:w="3303"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Интерактивдүү (электрондук) доска</w:t>
            </w:r>
          </w:p>
        </w:tc>
        <w:tc>
          <w:tcPr>
            <w:tcW w:w="806"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892"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p>
        </w:tc>
      </w:tr>
      <w:tr w:rsidR="00B176C1" w:rsidRPr="002D6B85" w:rsidTr="00BD0440">
        <w:trPr>
          <w:trHeight w:val="187"/>
        </w:trPr>
        <w:tc>
          <w:tcPr>
            <w:tcW w:w="3303"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Видеоплейер</w:t>
            </w:r>
          </w:p>
        </w:tc>
        <w:tc>
          <w:tcPr>
            <w:tcW w:w="806"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жок</w:t>
            </w:r>
          </w:p>
        </w:tc>
        <w:tc>
          <w:tcPr>
            <w:tcW w:w="892"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p>
        </w:tc>
      </w:tr>
      <w:tr w:rsidR="00B176C1" w:rsidRPr="002D6B85" w:rsidTr="00BD0440">
        <w:trPr>
          <w:trHeight w:val="199"/>
        </w:trPr>
        <w:tc>
          <w:tcPr>
            <w:tcW w:w="3303"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Проектор</w:t>
            </w:r>
          </w:p>
        </w:tc>
        <w:tc>
          <w:tcPr>
            <w:tcW w:w="806"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892"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1</w:t>
            </w:r>
          </w:p>
        </w:tc>
      </w:tr>
      <w:tr w:rsidR="00B176C1" w:rsidRPr="002D6B85" w:rsidTr="00BD0440">
        <w:trPr>
          <w:trHeight w:val="187"/>
        </w:trPr>
        <w:tc>
          <w:tcPr>
            <w:tcW w:w="3303"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Телевизор </w:t>
            </w:r>
          </w:p>
        </w:tc>
        <w:tc>
          <w:tcPr>
            <w:tcW w:w="806"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892"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2</w:t>
            </w:r>
          </w:p>
        </w:tc>
      </w:tr>
      <w:tr w:rsidR="00B176C1" w:rsidRPr="002D6B85" w:rsidTr="00BD0440">
        <w:trPr>
          <w:trHeight w:val="187"/>
        </w:trPr>
        <w:tc>
          <w:tcPr>
            <w:tcW w:w="3303"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Принтер (кѳп функционалдуу)</w:t>
            </w:r>
          </w:p>
        </w:tc>
        <w:tc>
          <w:tcPr>
            <w:tcW w:w="806"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ооба</w:t>
            </w:r>
          </w:p>
        </w:tc>
        <w:tc>
          <w:tcPr>
            <w:tcW w:w="892" w:type="pct"/>
            <w:tcBorders>
              <w:top w:val="single" w:sz="4" w:space="0" w:color="auto"/>
              <w:left w:val="single" w:sz="4" w:space="0" w:color="auto"/>
              <w:bottom w:val="single" w:sz="4" w:space="0" w:color="auto"/>
              <w:right w:val="single" w:sz="4" w:space="0" w:color="auto"/>
            </w:tcBorders>
          </w:tcPr>
          <w:p w:rsidR="00B176C1" w:rsidRPr="002D6B85" w:rsidRDefault="00B176C1" w:rsidP="00BD0440">
            <w:pPr>
              <w:spacing w:after="0" w:line="240" w:lineRule="auto"/>
              <w:jc w:val="center"/>
              <w:rPr>
                <w:rFonts w:ascii="Times New Roman" w:eastAsia="Times New Roman" w:hAnsi="Times New Roman" w:cs="Times New Roman"/>
                <w:b/>
                <w:i/>
                <w:sz w:val="24"/>
                <w:szCs w:val="24"/>
                <w:lang w:val="ky-KG" w:eastAsia="ru-RU"/>
              </w:rPr>
            </w:pPr>
            <w:r w:rsidRPr="002D6B85">
              <w:rPr>
                <w:rFonts w:ascii="Times New Roman" w:eastAsia="Times New Roman" w:hAnsi="Times New Roman" w:cs="Times New Roman"/>
                <w:b/>
                <w:i/>
                <w:sz w:val="24"/>
                <w:szCs w:val="24"/>
                <w:lang w:val="ky-KG" w:eastAsia="ru-RU"/>
              </w:rPr>
              <w:t>2</w:t>
            </w:r>
          </w:p>
        </w:tc>
      </w:tr>
    </w:tbl>
    <w:p w:rsidR="00B176C1" w:rsidRPr="002D6B85" w:rsidRDefault="00B176C1" w:rsidP="00B176C1">
      <w:pPr>
        <w:spacing w:after="0" w:line="276" w:lineRule="auto"/>
        <w:ind w:left="284"/>
        <w:rPr>
          <w:rFonts w:ascii="Times New Roman" w:eastAsia="Times New Roman" w:hAnsi="Times New Roman" w:cs="Times New Roman"/>
          <w:color w:val="000000"/>
          <w:sz w:val="24"/>
          <w:szCs w:val="28"/>
          <w:lang w:val="ky-KG" w:eastAsia="ru-RU"/>
        </w:rPr>
      </w:pPr>
      <w:r w:rsidRPr="002D6B85">
        <w:rPr>
          <w:rFonts w:ascii="Times New Roman" w:eastAsia="Times New Roman" w:hAnsi="Times New Roman" w:cs="Times New Roman"/>
          <w:color w:val="000000"/>
          <w:sz w:val="24"/>
          <w:szCs w:val="28"/>
          <w:lang w:val="ky-KG" w:eastAsia="ru-RU"/>
        </w:rPr>
        <w:t xml:space="preserve">          </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Мамлекеттик  жалпы билим берүү уюмунун мүлкүн жана каржылоо  ресурстарын            топтоо  булактары  болуп:</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-республикалык  жана  жергиликтүү  бюджеттер;</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lastRenderedPageBreak/>
        <w:t xml:space="preserve">             -уюштуруучу  болуп  саналган  жекече  жана  юридикалык  жактардын, чет ѳлкѳлѳрдүн жана  жарандарынын  каражаттары;</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-Кыргыз  Республикасынын  мыйзамдары  тыюу  салбаган бюджеттен тышкаркы ишкердүүлѳктѳн  түшкѳн  жалпы  билим  берүү  уюмунун  ѳзүнүн  каражаттары;</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-депозиттик  салымдардан  түшкѳн  каражаттар;</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-жекече  жана  юридикалык  жактардын, анын  ичинде  чет ѳлкѳлѳрдүн да ѳз ыктыярлары  менен  кошкон  каражаттары, кайрымдуулуктары жана максаттуу тѳлѳмдѳрү;</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-кредиттер Кыргыз Республикасынын мыйзамдарына каршы келбеген башка дагы  булактар  эсептелет.</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Жекече  юридикалык  жактар  белек, кайрымдуулук  же  керээз  катары  берген акчалай  каражаттарына, мүлккѳ  жана  менчик объектилерине  мектептин менчиктик  укугу  бар.</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Мектеп ѳзүнүн карамагындагы акчалай каражаттарынан жана менчигинин чегинде ѳз  милдеттери  боюнча  жооп  берет. Мектепке кѳрсѳтүлгѳн акчалай каражаты жетпей калса,  анда  анын  милдеттери  боюнча Кыргыз Республикасынын мыйзамдарында белгиленген  тартипте  уюштуруучусу   жооп  берет.</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Мектепти каржылоо  Кыргыз  Республикасынын  мыйзамдарына  ылайык  жүргүзүлѳт.  Жергиликтүү  ѳз  алдынча  башкаруу органдары, каржылоо каражаттары болсо, мектепти  ченемдерден  ашык  каржылашы  мүмкүн.</w:t>
      </w:r>
    </w:p>
    <w:p w:rsidR="00B176C1" w:rsidRPr="002D6B85" w:rsidRDefault="00B176C1" w:rsidP="00B176C1">
      <w:pPr>
        <w:spacing w:after="0" w:line="240" w:lineRule="auto"/>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        Мектептин финансылык-чарбалык ишин кѳзѳмѳлдѳѳнү текшерүү органдары тийиштүү ченемдик  укуктук  актылардын  негизинде  жүргүзүшѳт.</w:t>
      </w:r>
    </w:p>
    <w:p w:rsidR="00B176C1" w:rsidRPr="002D6B85" w:rsidRDefault="00B176C1" w:rsidP="00B176C1">
      <w:pPr>
        <w:spacing w:after="0" w:line="276" w:lineRule="auto"/>
        <w:ind w:left="284"/>
        <w:rPr>
          <w:rFonts w:ascii="Times New Roman" w:eastAsia="Times New Roman" w:hAnsi="Times New Roman" w:cs="Times New Roman"/>
          <w:szCs w:val="24"/>
          <w:lang w:val="ky-KG" w:eastAsia="ru-RU"/>
        </w:rPr>
      </w:pPr>
    </w:p>
    <w:p w:rsidR="00B176C1" w:rsidRPr="002D6B85" w:rsidRDefault="00B176C1" w:rsidP="00B176C1">
      <w:pPr>
        <w:spacing w:after="0" w:line="276" w:lineRule="auto"/>
        <w:ind w:left="284" w:hanging="360"/>
        <w:rPr>
          <w:rFonts w:ascii="Times New Roman" w:eastAsia="Times New Roman" w:hAnsi="Times New Roman" w:cs="Times New Roman"/>
          <w:color w:val="7030A0"/>
          <w:szCs w:val="24"/>
          <w:lang w:val="ky-KG" w:eastAsia="ru-RU"/>
        </w:rPr>
      </w:pPr>
      <w:r w:rsidRPr="002D6B85">
        <w:rPr>
          <w:rFonts w:ascii="Times New Roman" w:eastAsia="Times New Roman" w:hAnsi="Times New Roman" w:cs="Times New Roman"/>
          <w:b/>
          <w:bCs/>
          <w:szCs w:val="24"/>
          <w:lang w:val="ky-KG" w:eastAsia="ru-RU"/>
        </w:rPr>
        <w:t xml:space="preserve">   </w:t>
      </w:r>
      <w:r w:rsidRPr="002D6B85">
        <w:rPr>
          <w:rFonts w:ascii="Times New Roman" w:eastAsia="Times New Roman" w:hAnsi="Times New Roman" w:cs="Times New Roman"/>
          <w:b/>
          <w:bCs/>
          <w:color w:val="7030A0"/>
          <w:sz w:val="24"/>
          <w:szCs w:val="24"/>
          <w:lang w:val="ky-KG" w:eastAsia="ru-RU"/>
        </w:rPr>
        <w:t xml:space="preserve">Ишмердүүлүктүн жыйынтыктарына таасир берген кайсы мыкты аспектилерди белгилесе болот: </w:t>
      </w:r>
      <w:r w:rsidRPr="002D6B85">
        <w:rPr>
          <w:rFonts w:ascii="Times New Roman" w:eastAsia="Times New Roman" w:hAnsi="Times New Roman" w:cs="Times New Roman"/>
          <w:b/>
          <w:bCs/>
          <w:color w:val="7030A0"/>
          <w:szCs w:val="24"/>
          <w:lang w:val="ky-KG" w:eastAsia="ru-RU"/>
        </w:rPr>
        <w:t xml:space="preserve"> </w:t>
      </w:r>
    </w:p>
    <w:p w:rsidR="00B176C1" w:rsidRPr="002D6B85" w:rsidRDefault="00B176C1" w:rsidP="00B176C1">
      <w:pPr>
        <w:numPr>
          <w:ilvl w:val="0"/>
          <w:numId w:val="1"/>
        </w:numPr>
        <w:spacing w:after="0" w:line="276" w:lineRule="auto"/>
        <w:ind w:left="284"/>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Окуу кабинеттердин жабдылышы, зарыл техникалык каражаттарды колдонуп окуучуларга тарбия берүү жана окутууну позитивдүү жана чыгармачыл ѳтүүгѳ мүмкүндүк берүүнү камсыз кылуу.</w:t>
      </w:r>
    </w:p>
    <w:p w:rsidR="00B176C1" w:rsidRPr="002D6B85" w:rsidRDefault="00B176C1" w:rsidP="00B176C1">
      <w:pPr>
        <w:numPr>
          <w:ilvl w:val="0"/>
          <w:numId w:val="1"/>
        </w:numPr>
        <w:spacing w:after="0" w:line="276" w:lineRule="auto"/>
        <w:ind w:left="284"/>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Мектептин материалдык-техникалык базасын ѳнүктүрүүнү улантуу. </w:t>
      </w:r>
    </w:p>
    <w:p w:rsidR="00B176C1" w:rsidRPr="002D6B85" w:rsidRDefault="00B176C1" w:rsidP="00B176C1">
      <w:pPr>
        <w:numPr>
          <w:ilvl w:val="0"/>
          <w:numId w:val="1"/>
        </w:numPr>
        <w:spacing w:after="0" w:line="276" w:lineRule="auto"/>
        <w:ind w:left="284"/>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Мектеп мүлкүнүн, компьютердик техниканын, окуу китептеринин, кѳрсѳтмѳ куралдардын сакталышы жана жаңыланышы алардын заманбаптыгын жана зарыл сапатын камсыз кылат.</w:t>
      </w:r>
    </w:p>
    <w:p w:rsidR="00B176C1" w:rsidRPr="002D6B85" w:rsidRDefault="00B176C1" w:rsidP="00B176C1">
      <w:pPr>
        <w:numPr>
          <w:ilvl w:val="0"/>
          <w:numId w:val="1"/>
        </w:numPr>
        <w:spacing w:after="0" w:line="276" w:lineRule="auto"/>
        <w:ind w:left="284"/>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Окуучулардын окуу китептери менен 85,2 %га камсыз болушу.</w:t>
      </w:r>
    </w:p>
    <w:p w:rsidR="00B176C1" w:rsidRPr="002D6B85" w:rsidRDefault="00B176C1" w:rsidP="00B176C1">
      <w:pPr>
        <w:numPr>
          <w:ilvl w:val="0"/>
          <w:numId w:val="1"/>
        </w:numPr>
        <w:spacing w:after="0" w:line="276" w:lineRule="auto"/>
        <w:ind w:left="284"/>
        <w:rPr>
          <w:rFonts w:ascii="Times New Roman" w:eastAsia="Times New Roman" w:hAnsi="Times New Roman" w:cs="Times New Roman"/>
          <w:sz w:val="24"/>
          <w:szCs w:val="24"/>
          <w:lang w:val="ky-KG" w:eastAsia="ru-RU"/>
        </w:rPr>
      </w:pPr>
      <w:r w:rsidRPr="002D6B85">
        <w:rPr>
          <w:rFonts w:ascii="Times New Roman" w:eastAsia="Times New Roman" w:hAnsi="Times New Roman" w:cs="Times New Roman"/>
          <w:sz w:val="24"/>
          <w:szCs w:val="24"/>
          <w:lang w:val="ky-KG" w:eastAsia="ru-RU"/>
        </w:rPr>
        <w:t xml:space="preserve">Класстык кабинеттердин жабдуу талаптарына ылайык жасалгаланышы (стенддер, эмеректер, кѳрсѳтмѳ жана таркатма  куралдар ж.б.у.с.)  </w:t>
      </w:r>
    </w:p>
    <w:p w:rsidR="008F4790" w:rsidRPr="00B176C1" w:rsidRDefault="008F4790">
      <w:pPr>
        <w:rPr>
          <w:lang w:val="ky-KG"/>
        </w:rPr>
      </w:pPr>
      <w:bookmarkStart w:id="0" w:name="_GoBack"/>
      <w:bookmarkEnd w:id="0"/>
    </w:p>
    <w:sectPr w:rsidR="008F4790" w:rsidRPr="00B176C1" w:rsidSect="00C03649">
      <w:pgSz w:w="11906" w:h="16838"/>
      <w:pgMar w:top="539" w:right="180" w:bottom="357"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290D"/>
    <w:multiLevelType w:val="hybridMultilevel"/>
    <w:tmpl w:val="42C4C8E2"/>
    <w:lvl w:ilvl="0" w:tplc="0CE4D6C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C1"/>
    <w:rsid w:val="008B3295"/>
    <w:rsid w:val="008F4790"/>
    <w:rsid w:val="00A805E0"/>
    <w:rsid w:val="00B176C1"/>
    <w:rsid w:val="00C0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2A891-2EDD-4669-B8D9-927DF292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C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cp:revision>
  <dcterms:created xsi:type="dcterms:W3CDTF">2021-02-26T07:54:00Z</dcterms:created>
  <dcterms:modified xsi:type="dcterms:W3CDTF">2021-02-26T07:56:00Z</dcterms:modified>
</cp:coreProperties>
</file>